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1D" w:rsidRPr="00887CA0" w:rsidRDefault="00E8401D">
      <w:pPr>
        <w:pStyle w:val="Heading1"/>
        <w:jc w:val="left"/>
        <w:rPr>
          <w:b w:val="0"/>
          <w:bCs w:val="0"/>
        </w:rPr>
      </w:pPr>
      <w:r w:rsidRPr="00887CA0">
        <w:t>Communications</w:t>
      </w:r>
    </w:p>
    <w:p w:rsidR="00A67CE6" w:rsidRPr="00887CA0" w:rsidRDefault="00E8401D">
      <w:pPr>
        <w:ind w:left="-720" w:firstLine="720"/>
        <w:rPr>
          <w:b/>
          <w:bCs/>
        </w:rPr>
      </w:pPr>
      <w:r w:rsidRPr="00887CA0">
        <w:rPr>
          <w:b/>
          <w:bCs/>
        </w:rPr>
        <w:t>Workers of America</w:t>
      </w:r>
    </w:p>
    <w:p w:rsidR="004903A4" w:rsidRPr="00887CA0" w:rsidRDefault="004903A4">
      <w:pPr>
        <w:ind w:left="-720" w:firstLine="720"/>
        <w:rPr>
          <w:b/>
          <w:bCs/>
        </w:rPr>
      </w:pPr>
      <w:r w:rsidRPr="00887CA0">
        <w:rPr>
          <w:b/>
          <w:bCs/>
        </w:rPr>
        <w:t>District 7</w:t>
      </w:r>
    </w:p>
    <w:p w:rsidR="00E752EC" w:rsidRPr="00887CA0" w:rsidRDefault="00A67CE6">
      <w:pPr>
        <w:ind w:left="-720" w:firstLine="720"/>
        <w:rPr>
          <w:sz w:val="20"/>
        </w:rPr>
      </w:pPr>
      <w:r w:rsidRPr="00887CA0">
        <w:rPr>
          <w:sz w:val="20"/>
        </w:rPr>
        <w:t>AFL-CIO, CLC</w:t>
      </w:r>
    </w:p>
    <w:p w:rsidR="00A67CE6" w:rsidRPr="00887CA0" w:rsidRDefault="00A67CE6" w:rsidP="00831B53">
      <w:pPr>
        <w:pStyle w:val="Heading1"/>
        <w:tabs>
          <w:tab w:val="left" w:pos="90"/>
          <w:tab w:val="left" w:pos="630"/>
        </w:tabs>
        <w:jc w:val="left"/>
        <w:rPr>
          <w:b w:val="0"/>
          <w:bCs w:val="0"/>
          <w:sz w:val="22"/>
          <w:szCs w:val="22"/>
        </w:rPr>
      </w:pPr>
      <w:r w:rsidRPr="00887CA0">
        <w:rPr>
          <w:b w:val="0"/>
          <w:bCs w:val="0"/>
          <w:sz w:val="22"/>
          <w:szCs w:val="22"/>
        </w:rPr>
        <w:t>8085 E. Prentice Avenue</w:t>
      </w:r>
    </w:p>
    <w:p w:rsidR="00A67CE6" w:rsidRPr="00887CA0" w:rsidRDefault="00A67CE6">
      <w:pPr>
        <w:ind w:left="-720" w:firstLine="720"/>
        <w:rPr>
          <w:sz w:val="22"/>
          <w:szCs w:val="22"/>
        </w:rPr>
      </w:pPr>
      <w:r w:rsidRPr="00887CA0">
        <w:rPr>
          <w:sz w:val="22"/>
          <w:szCs w:val="22"/>
        </w:rPr>
        <w:t>Greenwood Village, CO 80111-</w:t>
      </w:r>
      <w:r w:rsidR="00BF25B7" w:rsidRPr="00887CA0">
        <w:rPr>
          <w:sz w:val="22"/>
          <w:szCs w:val="22"/>
        </w:rPr>
        <w:t>27</w:t>
      </w:r>
      <w:r w:rsidRPr="00887CA0">
        <w:rPr>
          <w:sz w:val="22"/>
          <w:szCs w:val="22"/>
        </w:rPr>
        <w:t>45</w:t>
      </w:r>
    </w:p>
    <w:p w:rsidR="00A140C1" w:rsidRPr="00887CA0" w:rsidRDefault="00BF25B7">
      <w:pPr>
        <w:ind w:left="-720" w:firstLine="720"/>
      </w:pPr>
      <w:r w:rsidRPr="00887CA0">
        <w:rPr>
          <w:sz w:val="22"/>
          <w:szCs w:val="22"/>
        </w:rPr>
        <w:t xml:space="preserve">P: 303-770-2822 F: </w:t>
      </w:r>
      <w:r w:rsidR="00A67CE6" w:rsidRPr="00887CA0">
        <w:rPr>
          <w:sz w:val="22"/>
          <w:szCs w:val="22"/>
        </w:rPr>
        <w:t>303-</w:t>
      </w:r>
      <w:r w:rsidR="00207224" w:rsidRPr="00887CA0">
        <w:rPr>
          <w:sz w:val="22"/>
          <w:szCs w:val="22"/>
        </w:rPr>
        <w:t>7</w:t>
      </w:r>
      <w:r w:rsidR="00611E1C" w:rsidRPr="00887CA0">
        <w:rPr>
          <w:sz w:val="22"/>
          <w:szCs w:val="22"/>
        </w:rPr>
        <w:t>93-7927</w:t>
      </w:r>
    </w:p>
    <w:p w:rsidR="00B953D7" w:rsidRPr="00887CA0" w:rsidRDefault="00B953D7" w:rsidP="00A140C1">
      <w:pPr>
        <w:ind w:left="-720" w:firstLine="720"/>
        <w:rPr>
          <w:b/>
          <w:sz w:val="16"/>
          <w:szCs w:val="16"/>
        </w:rPr>
      </w:pPr>
    </w:p>
    <w:p w:rsidR="00EF6D79" w:rsidRPr="00887CA0" w:rsidRDefault="001C1892" w:rsidP="0012424E">
      <w:pPr>
        <w:ind w:left="-720" w:firstLine="720"/>
        <w:rPr>
          <w:b/>
          <w:szCs w:val="21"/>
        </w:rPr>
      </w:pPr>
      <w:r>
        <w:rPr>
          <w:b/>
          <w:szCs w:val="21"/>
        </w:rPr>
        <w:t>Susie McAllister</w:t>
      </w:r>
    </w:p>
    <w:p w:rsidR="009D6AB2" w:rsidRPr="00887CA0" w:rsidRDefault="001C1892" w:rsidP="0012424E">
      <w:pPr>
        <w:ind w:left="-720" w:firstLine="720"/>
        <w:rPr>
          <w:b/>
          <w:sz w:val="20"/>
          <w:szCs w:val="21"/>
        </w:rPr>
      </w:pPr>
      <w:r>
        <w:rPr>
          <w:b/>
          <w:sz w:val="20"/>
          <w:szCs w:val="21"/>
        </w:rPr>
        <w:t>Administrative Director</w:t>
      </w:r>
    </w:p>
    <w:p w:rsidR="009D6AB2" w:rsidRPr="003300D7" w:rsidRDefault="001C1892" w:rsidP="0012424E">
      <w:pPr>
        <w:ind w:left="-720" w:firstLine="720"/>
        <w:rPr>
          <w:sz w:val="22"/>
          <w:szCs w:val="21"/>
          <w:u w:val="single"/>
        </w:rPr>
      </w:pPr>
      <w:r w:rsidRPr="003300D7">
        <w:rPr>
          <w:sz w:val="22"/>
          <w:szCs w:val="21"/>
          <w:u w:val="single"/>
        </w:rPr>
        <w:t>smcallister</w:t>
      </w:r>
      <w:r w:rsidR="00945E11" w:rsidRPr="003300D7">
        <w:rPr>
          <w:sz w:val="22"/>
          <w:szCs w:val="21"/>
          <w:u w:val="single"/>
        </w:rPr>
        <w:t>@cwa-union.org</w:t>
      </w:r>
    </w:p>
    <w:p w:rsidR="009D6AB2" w:rsidRPr="00EF6D79" w:rsidRDefault="009D6AB2" w:rsidP="00A140C1">
      <w:pPr>
        <w:ind w:left="-720" w:firstLine="720"/>
        <w:rPr>
          <w:sz w:val="22"/>
          <w:szCs w:val="20"/>
        </w:rPr>
        <w:sectPr w:rsidR="009D6AB2" w:rsidRPr="00EF6D79" w:rsidSect="00831B53">
          <w:footerReference w:type="even" r:id="rId7"/>
          <w:footerReference w:type="default" r:id="rId8"/>
          <w:type w:val="continuous"/>
          <w:pgSz w:w="12240" w:h="15840"/>
          <w:pgMar w:top="360" w:right="810" w:bottom="1440" w:left="1260" w:header="720" w:footer="720" w:gutter="0"/>
          <w:cols w:num="3" w:space="720" w:equalWidth="0">
            <w:col w:w="2340" w:space="720"/>
            <w:col w:w="3780" w:space="720"/>
            <w:col w:w="2610"/>
          </w:cols>
          <w:titlePg/>
          <w:docGrid w:linePitch="360"/>
        </w:sectPr>
      </w:pPr>
    </w:p>
    <w:p w:rsidR="00E8401D" w:rsidRDefault="007A0FE6">
      <w:r>
        <w:rPr>
          <w:rFonts w:ascii="Calibri" w:hAnsi="Calibri" w:cs="Arial"/>
          <w:noProof/>
          <w:sz w:val="22"/>
          <w:szCs w:val="21"/>
        </w:rPr>
        <w:drawing>
          <wp:anchor distT="0" distB="0" distL="114300" distR="114300" simplePos="0" relativeHeight="251657728" behindDoc="1" locked="0" layoutInCell="1" allowOverlap="1">
            <wp:simplePos x="0" y="0"/>
            <wp:positionH relativeFrom="column">
              <wp:posOffset>5120005</wp:posOffset>
            </wp:positionH>
            <wp:positionV relativeFrom="paragraph">
              <wp:posOffset>147955</wp:posOffset>
            </wp:positionV>
            <wp:extent cx="1109345"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-33655</wp:posOffset>
            </wp:positionH>
            <wp:positionV relativeFrom="paragraph">
              <wp:posOffset>58420</wp:posOffset>
            </wp:positionV>
            <wp:extent cx="6242685" cy="241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685" cy="241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7A0FE6">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19685</wp:posOffset>
            </wp:positionV>
            <wp:extent cx="871220" cy="417830"/>
            <wp:effectExtent l="0" t="0" r="5080" b="127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417830"/>
                    </a:xfrm>
                    <a:prstGeom prst="rect">
                      <a:avLst/>
                    </a:prstGeom>
                    <a:noFill/>
                  </pic:spPr>
                </pic:pic>
              </a:graphicData>
            </a:graphic>
            <wp14:sizeRelH relativeFrom="page">
              <wp14:pctWidth>0</wp14:pctWidth>
            </wp14:sizeRelH>
            <wp14:sizeRelV relativeFrom="page">
              <wp14:pctHeight>0</wp14:pctHeight>
            </wp14:sizeRelV>
          </wp:anchor>
        </w:drawing>
      </w:r>
    </w:p>
    <w:p w:rsidR="000176A3" w:rsidRDefault="000176A3" w:rsidP="009F7B81">
      <w:pPr>
        <w:rPr>
          <w:bCs/>
          <w:sz w:val="22"/>
          <w:szCs w:val="22"/>
        </w:rPr>
      </w:pPr>
    </w:p>
    <w:p w:rsidR="009F7B81" w:rsidRPr="002A6BCA" w:rsidRDefault="009F7B81" w:rsidP="009F7B81">
      <w:pPr>
        <w:jc w:val="center"/>
        <w:rPr>
          <w:rFonts w:asciiTheme="minorHAnsi" w:hAnsiTheme="minorHAnsi" w:cstheme="minorHAnsi"/>
          <w:bCs/>
          <w:sz w:val="22"/>
          <w:szCs w:val="22"/>
        </w:rPr>
      </w:pPr>
      <w:r w:rsidRPr="002A6BCA">
        <w:rPr>
          <w:rFonts w:asciiTheme="minorHAnsi" w:hAnsiTheme="minorHAnsi" w:cstheme="minorHAnsi"/>
          <w:b/>
          <w:bCs/>
          <w:sz w:val="22"/>
          <w:szCs w:val="22"/>
        </w:rPr>
        <w:t>Via Email</w:t>
      </w:r>
    </w:p>
    <w:p w:rsidR="00CE034C" w:rsidRPr="00B27685" w:rsidRDefault="00B27685" w:rsidP="00CE034C">
      <w:pPr>
        <w:rPr>
          <w:rFonts w:asciiTheme="majorHAnsi" w:hAnsiTheme="majorHAnsi" w:cstheme="minorHAnsi"/>
          <w:b/>
          <w:bCs/>
        </w:rPr>
      </w:pPr>
      <w:r w:rsidRPr="00B27685">
        <w:rPr>
          <w:rFonts w:asciiTheme="majorHAnsi" w:hAnsiTheme="majorHAnsi" w:cstheme="minorHAnsi"/>
          <w:b/>
          <w:bCs/>
        </w:rPr>
        <w:t>Q-282</w:t>
      </w:r>
    </w:p>
    <w:p w:rsidR="00CE034C" w:rsidRPr="00B27685" w:rsidRDefault="00CE034C" w:rsidP="00CE034C">
      <w:pPr>
        <w:rPr>
          <w:rFonts w:asciiTheme="majorHAnsi" w:hAnsiTheme="majorHAnsi" w:cstheme="minorHAnsi"/>
          <w:bCs/>
        </w:rPr>
      </w:pPr>
    </w:p>
    <w:p w:rsidR="0012424E" w:rsidRPr="00B27685" w:rsidRDefault="00B27685" w:rsidP="00CE034C">
      <w:pPr>
        <w:rPr>
          <w:rFonts w:asciiTheme="majorHAnsi" w:hAnsiTheme="majorHAnsi" w:cstheme="minorHAnsi"/>
          <w:b/>
          <w:bCs/>
        </w:rPr>
      </w:pPr>
      <w:r w:rsidRPr="00B27685">
        <w:rPr>
          <w:rFonts w:asciiTheme="majorHAnsi" w:hAnsiTheme="majorHAnsi" w:cstheme="minorHAnsi"/>
          <w:b/>
          <w:bCs/>
        </w:rPr>
        <w:t>August 28</w:t>
      </w:r>
      <w:r w:rsidR="00274BC5" w:rsidRPr="00B27685">
        <w:rPr>
          <w:rFonts w:asciiTheme="majorHAnsi" w:hAnsiTheme="majorHAnsi" w:cstheme="minorHAnsi"/>
          <w:b/>
          <w:bCs/>
        </w:rPr>
        <w:t>, 2019</w:t>
      </w:r>
    </w:p>
    <w:p w:rsidR="00CE034C" w:rsidRPr="00B27685" w:rsidRDefault="00CE034C" w:rsidP="00B415E4">
      <w:pPr>
        <w:ind w:left="1440" w:hanging="1440"/>
        <w:rPr>
          <w:rFonts w:asciiTheme="majorHAnsi" w:hAnsiTheme="majorHAnsi" w:cstheme="minorHAnsi"/>
          <w:b/>
        </w:rPr>
      </w:pPr>
    </w:p>
    <w:p w:rsidR="00F33EA1" w:rsidRPr="00B27685" w:rsidRDefault="009F7B81" w:rsidP="00DB0E52">
      <w:pPr>
        <w:ind w:left="1440" w:hanging="1440"/>
        <w:rPr>
          <w:rFonts w:asciiTheme="majorHAnsi" w:hAnsiTheme="majorHAnsi" w:cstheme="minorHAnsi"/>
        </w:rPr>
      </w:pPr>
      <w:r w:rsidRPr="00B27685">
        <w:rPr>
          <w:rFonts w:asciiTheme="majorHAnsi" w:hAnsiTheme="majorHAnsi" w:cstheme="minorHAnsi"/>
          <w:b/>
        </w:rPr>
        <w:t>TO:</w:t>
      </w:r>
      <w:r w:rsidRPr="00B27685">
        <w:rPr>
          <w:rFonts w:asciiTheme="majorHAnsi" w:hAnsiTheme="majorHAnsi" w:cstheme="minorHAnsi"/>
        </w:rPr>
        <w:tab/>
      </w:r>
      <w:r w:rsidR="00DB7BA9" w:rsidRPr="00B27685">
        <w:rPr>
          <w:rFonts w:asciiTheme="majorHAnsi" w:hAnsiTheme="majorHAnsi" w:cstheme="minorHAnsi"/>
        </w:rPr>
        <w:t>All CWA Local Presidents Representing Legacy Qwest Members</w:t>
      </w:r>
    </w:p>
    <w:p w:rsidR="00BF1E12" w:rsidRPr="00B27685" w:rsidRDefault="00C64CFE" w:rsidP="00774DA6">
      <w:pPr>
        <w:ind w:left="1440" w:hanging="1440"/>
        <w:rPr>
          <w:rFonts w:asciiTheme="majorHAnsi" w:hAnsiTheme="majorHAnsi" w:cstheme="minorHAnsi"/>
        </w:rPr>
      </w:pPr>
      <w:r w:rsidRPr="00B27685">
        <w:rPr>
          <w:rFonts w:asciiTheme="majorHAnsi" w:hAnsiTheme="majorHAnsi" w:cstheme="minorHAnsi"/>
          <w:b/>
        </w:rPr>
        <w:tab/>
      </w:r>
      <w:r w:rsidR="00BF1E12" w:rsidRPr="00B27685">
        <w:rPr>
          <w:rFonts w:asciiTheme="majorHAnsi" w:hAnsiTheme="majorHAnsi" w:cstheme="minorHAnsi"/>
        </w:rPr>
        <w:tab/>
      </w:r>
      <w:r w:rsidR="00B415E4" w:rsidRPr="00B27685">
        <w:rPr>
          <w:rFonts w:asciiTheme="majorHAnsi" w:hAnsiTheme="majorHAnsi" w:cstheme="minorHAnsi"/>
        </w:rPr>
        <w:tab/>
      </w:r>
      <w:r w:rsidR="009F7B81" w:rsidRPr="00B27685">
        <w:rPr>
          <w:rFonts w:asciiTheme="majorHAnsi" w:hAnsiTheme="majorHAnsi" w:cstheme="minorHAnsi"/>
        </w:rPr>
        <w:tab/>
      </w:r>
    </w:p>
    <w:p w:rsidR="00322F16" w:rsidRPr="00B27685" w:rsidRDefault="009F7B81" w:rsidP="001C1892">
      <w:pPr>
        <w:rPr>
          <w:rFonts w:asciiTheme="majorHAnsi" w:hAnsiTheme="majorHAnsi" w:cstheme="minorHAnsi"/>
        </w:rPr>
      </w:pPr>
      <w:r w:rsidRPr="00B27685">
        <w:rPr>
          <w:rFonts w:asciiTheme="majorHAnsi" w:hAnsiTheme="majorHAnsi" w:cstheme="minorHAnsi"/>
          <w:b/>
        </w:rPr>
        <w:t>FROM:</w:t>
      </w:r>
      <w:r w:rsidRPr="00B27685">
        <w:rPr>
          <w:rFonts w:asciiTheme="majorHAnsi" w:hAnsiTheme="majorHAnsi" w:cstheme="minorHAnsi"/>
        </w:rPr>
        <w:tab/>
      </w:r>
      <w:r w:rsidR="002A6BCA" w:rsidRPr="00B27685">
        <w:rPr>
          <w:rFonts w:asciiTheme="majorHAnsi" w:hAnsiTheme="majorHAnsi" w:cstheme="minorHAnsi"/>
        </w:rPr>
        <w:t>Susie McAllister, Administrative Director</w:t>
      </w:r>
    </w:p>
    <w:p w:rsidR="000D74F2" w:rsidRPr="00B27685" w:rsidRDefault="000D74F2" w:rsidP="009F7B81">
      <w:pPr>
        <w:ind w:left="720" w:firstLine="720"/>
        <w:rPr>
          <w:rFonts w:asciiTheme="majorHAnsi" w:hAnsiTheme="majorHAnsi" w:cstheme="minorHAnsi"/>
          <w:bCs/>
        </w:rPr>
      </w:pPr>
    </w:p>
    <w:p w:rsidR="002A6BCA" w:rsidRPr="00B27685" w:rsidRDefault="009F7B81" w:rsidP="00B27685">
      <w:pPr>
        <w:rPr>
          <w:rFonts w:asciiTheme="majorHAnsi" w:hAnsiTheme="majorHAnsi" w:cstheme="minorHAnsi"/>
          <w:bCs/>
        </w:rPr>
      </w:pPr>
      <w:r w:rsidRPr="00B27685">
        <w:rPr>
          <w:rFonts w:asciiTheme="majorHAnsi" w:hAnsiTheme="majorHAnsi" w:cstheme="minorHAnsi"/>
          <w:b/>
          <w:bCs/>
        </w:rPr>
        <w:t>SUBJECT:</w:t>
      </w:r>
      <w:r w:rsidRPr="00B27685">
        <w:rPr>
          <w:rFonts w:asciiTheme="majorHAnsi" w:hAnsiTheme="majorHAnsi" w:cstheme="minorHAnsi"/>
          <w:b/>
          <w:bCs/>
        </w:rPr>
        <w:tab/>
      </w:r>
      <w:r w:rsidR="00B27685" w:rsidRPr="00B27685">
        <w:rPr>
          <w:rFonts w:asciiTheme="majorHAnsi" w:hAnsiTheme="majorHAnsi" w:cstheme="minorHAnsi"/>
          <w:bCs/>
        </w:rPr>
        <w:t>Tentative Agreement Q&amp;A Update</w:t>
      </w:r>
      <w:bookmarkStart w:id="0" w:name="_GoBack"/>
      <w:bookmarkEnd w:id="0"/>
    </w:p>
    <w:p w:rsidR="00B27685" w:rsidRPr="00B27685" w:rsidRDefault="00B27685" w:rsidP="00B27685">
      <w:pPr>
        <w:rPr>
          <w:rFonts w:asciiTheme="majorHAnsi" w:hAnsiTheme="majorHAnsi" w:cstheme="minorHAnsi"/>
          <w:bCs/>
        </w:rPr>
      </w:pPr>
    </w:p>
    <w:p w:rsidR="00B27685" w:rsidRPr="00B27685" w:rsidRDefault="00B27685" w:rsidP="00B27685">
      <w:pPr>
        <w:spacing w:after="200" w:line="276" w:lineRule="auto"/>
        <w:rPr>
          <w:rFonts w:asciiTheme="majorHAnsi" w:eastAsiaTheme="minorHAnsi" w:hAnsiTheme="majorHAnsi" w:cstheme="minorBidi"/>
          <w:b/>
        </w:rPr>
      </w:pPr>
      <w:r w:rsidRPr="00B27685">
        <w:rPr>
          <w:rFonts w:asciiTheme="majorHAnsi" w:eastAsiaTheme="minorHAnsi" w:hAnsiTheme="majorHAnsi" w:cstheme="minorBidi"/>
          <w:b/>
        </w:rPr>
        <w:t>More Q&amp;A:</w:t>
      </w:r>
    </w:p>
    <w:p w:rsidR="00B27685" w:rsidRPr="00B27685" w:rsidRDefault="00B27685" w:rsidP="00B27685">
      <w:pPr>
        <w:spacing w:before="100" w:beforeAutospacing="1" w:after="100" w:afterAutospacing="1"/>
        <w:rPr>
          <w:rFonts w:asciiTheme="majorHAnsi" w:hAnsiTheme="majorHAnsi"/>
        </w:rPr>
      </w:pPr>
      <w:r w:rsidRPr="00B27685">
        <w:rPr>
          <w:rFonts w:asciiTheme="majorHAnsi" w:hAnsiTheme="majorHAnsi"/>
        </w:rPr>
        <w:t>Q: Will my unused HRA dollars in my current CDHP plan roll over to the Standard or Premium CDHP Plans?</w:t>
      </w:r>
      <w:r w:rsidRPr="00B27685">
        <w:rPr>
          <w:rFonts w:asciiTheme="majorHAnsi" w:hAnsiTheme="majorHAnsi"/>
        </w:rPr>
        <w:br/>
        <w:t xml:space="preserve">A: Yes it will roll over, and there is no maximum that they can roll over or accrue. </w:t>
      </w:r>
    </w:p>
    <w:p w:rsidR="00B27685" w:rsidRPr="00B27685" w:rsidRDefault="00B27685" w:rsidP="00B27685">
      <w:pPr>
        <w:spacing w:before="100" w:beforeAutospacing="1" w:after="100" w:afterAutospacing="1"/>
        <w:rPr>
          <w:rFonts w:asciiTheme="majorHAnsi" w:hAnsiTheme="majorHAnsi"/>
        </w:rPr>
      </w:pPr>
      <w:r w:rsidRPr="00B27685">
        <w:rPr>
          <w:rFonts w:asciiTheme="majorHAnsi" w:hAnsiTheme="majorHAnsi"/>
        </w:rPr>
        <w:t>Q:  What happens to any HRA balance if an employee moves to the HDHP?</w:t>
      </w:r>
      <w:r w:rsidRPr="00B27685">
        <w:rPr>
          <w:rFonts w:asciiTheme="majorHAnsi" w:hAnsiTheme="majorHAnsi"/>
        </w:rPr>
        <w:br/>
        <w:t>A:  The unused money will also roll over but the account works different.  Below is the description from the HDHP SPD:</w:t>
      </w:r>
    </w:p>
    <w:p w:rsidR="00B27685" w:rsidRPr="00B27685" w:rsidRDefault="00B27685" w:rsidP="00B27685">
      <w:pPr>
        <w:autoSpaceDE w:val="0"/>
        <w:autoSpaceDN w:val="0"/>
        <w:spacing w:before="100" w:beforeAutospacing="1" w:after="100" w:afterAutospacing="1" w:line="303" w:lineRule="atLeast"/>
        <w:ind w:left="720"/>
        <w:rPr>
          <w:rFonts w:asciiTheme="majorHAnsi" w:hAnsiTheme="majorHAnsi"/>
        </w:rPr>
      </w:pPr>
      <w:bookmarkStart w:id="1" w:name="m_-1039242956552225219__bookmark0"/>
      <w:bookmarkStart w:id="2" w:name="m_-1039242956552225219__bookmark1"/>
      <w:bookmarkEnd w:id="1"/>
      <w:bookmarkEnd w:id="2"/>
      <w:r w:rsidRPr="00B27685">
        <w:rPr>
          <w:rFonts w:asciiTheme="majorHAnsi" w:hAnsiTheme="majorHAnsi" w:cs="Arial"/>
          <w:b/>
          <w:bCs/>
        </w:rPr>
        <w:t>ACCOUNT ROLL OVER</w:t>
      </w:r>
    </w:p>
    <w:p w:rsidR="00B27685" w:rsidRPr="00B27685" w:rsidRDefault="00B27685" w:rsidP="00B27685">
      <w:pPr>
        <w:autoSpaceDE w:val="0"/>
        <w:autoSpaceDN w:val="0"/>
        <w:spacing w:before="100" w:beforeAutospacing="1"/>
        <w:ind w:left="720"/>
        <w:rPr>
          <w:rFonts w:asciiTheme="majorHAnsi" w:hAnsiTheme="majorHAnsi"/>
        </w:rPr>
      </w:pPr>
      <w:r w:rsidRPr="00B27685">
        <w:rPr>
          <w:rFonts w:asciiTheme="majorHAnsi" w:hAnsiTheme="majorHAnsi" w:cs="Arial"/>
          <w:b/>
          <w:bCs/>
          <w:u w:val="single"/>
        </w:rPr>
        <w:t>What is a Post Deductible HRA</w:t>
      </w:r>
      <w:r w:rsidRPr="00B27685">
        <w:rPr>
          <w:rFonts w:asciiTheme="majorHAnsi" w:hAnsiTheme="majorHAnsi" w:cs="Arial"/>
        </w:rPr>
        <w:t>?</w:t>
      </w:r>
    </w:p>
    <w:p w:rsidR="00B27685" w:rsidRPr="00B27685" w:rsidRDefault="00B27685" w:rsidP="00B27685">
      <w:pPr>
        <w:autoSpaceDE w:val="0"/>
        <w:autoSpaceDN w:val="0"/>
        <w:spacing w:before="100" w:beforeAutospacing="1"/>
        <w:ind w:left="720" w:right="250"/>
        <w:jc w:val="both"/>
        <w:rPr>
          <w:rFonts w:asciiTheme="majorHAnsi" w:hAnsiTheme="majorHAnsi"/>
        </w:rPr>
      </w:pPr>
      <w:r w:rsidRPr="00B27685">
        <w:rPr>
          <w:rFonts w:asciiTheme="majorHAnsi" w:hAnsiTheme="majorHAnsi" w:cs="Arial"/>
        </w:rPr>
        <w:t xml:space="preserve">A post deductible HRA is a HRA that reimburses claims after the HDHP annual </w:t>
      </w:r>
      <w:proofErr w:type="gramStart"/>
      <w:r w:rsidRPr="00B27685">
        <w:rPr>
          <w:rFonts w:asciiTheme="majorHAnsi" w:hAnsiTheme="majorHAnsi" w:cs="Arial"/>
        </w:rPr>
        <w:t>In</w:t>
      </w:r>
      <w:proofErr w:type="gramEnd"/>
      <w:r w:rsidRPr="00B27685">
        <w:rPr>
          <w:rFonts w:asciiTheme="majorHAnsi" w:hAnsiTheme="majorHAnsi" w:cs="Arial"/>
        </w:rPr>
        <w:t xml:space="preserve">- network deductible amount has been met for the plan year. IRS regulation </w:t>
      </w:r>
      <w:r w:rsidRPr="00B27685">
        <w:rPr>
          <w:rFonts w:asciiTheme="majorHAnsi" w:hAnsiTheme="majorHAnsi" w:cs="Arial"/>
          <w:b/>
          <w:bCs/>
        </w:rPr>
        <w:t xml:space="preserve">prevents </w:t>
      </w:r>
      <w:r w:rsidRPr="00B27685">
        <w:rPr>
          <w:rFonts w:asciiTheme="majorHAnsi" w:hAnsiTheme="majorHAnsi" w:cs="Arial"/>
        </w:rPr>
        <w:t>any first dollar coverage or payment (such as HRA roll over dollars or available HSA dollars) to be used before the participant has satisfied their HDHP deductible</w:t>
      </w:r>
    </w:p>
    <w:p w:rsidR="00B27685" w:rsidRPr="00B27685" w:rsidRDefault="00B27685" w:rsidP="00B27685">
      <w:pPr>
        <w:autoSpaceDE w:val="0"/>
        <w:autoSpaceDN w:val="0"/>
        <w:spacing w:before="100" w:beforeAutospacing="1"/>
        <w:ind w:left="720" w:right="241"/>
        <w:jc w:val="both"/>
        <w:rPr>
          <w:rFonts w:asciiTheme="majorHAnsi" w:hAnsiTheme="majorHAnsi"/>
        </w:rPr>
      </w:pPr>
      <w:r w:rsidRPr="00B27685">
        <w:rPr>
          <w:rFonts w:asciiTheme="majorHAnsi" w:hAnsiTheme="majorHAnsi" w:cs="Arial"/>
          <w:spacing w:val="-4"/>
        </w:rPr>
        <w:t xml:space="preserve">If </w:t>
      </w:r>
      <w:r w:rsidRPr="00B27685">
        <w:rPr>
          <w:rFonts w:asciiTheme="majorHAnsi" w:hAnsiTheme="majorHAnsi" w:cs="Arial"/>
          <w:spacing w:val="-3"/>
        </w:rPr>
        <w:t xml:space="preserve">you </w:t>
      </w:r>
      <w:r w:rsidRPr="00B27685">
        <w:rPr>
          <w:rFonts w:asciiTheme="majorHAnsi" w:hAnsiTheme="majorHAnsi" w:cs="Arial"/>
        </w:rPr>
        <w:t xml:space="preserve">change to a HDHP </w:t>
      </w:r>
      <w:r w:rsidRPr="00B27685">
        <w:rPr>
          <w:rFonts w:asciiTheme="majorHAnsi" w:hAnsiTheme="majorHAnsi" w:cs="Arial"/>
          <w:spacing w:val="-4"/>
        </w:rPr>
        <w:t xml:space="preserve">Plan </w:t>
      </w:r>
      <w:r w:rsidRPr="00B27685">
        <w:rPr>
          <w:rFonts w:asciiTheme="majorHAnsi" w:hAnsiTheme="majorHAnsi" w:cs="Arial"/>
        </w:rPr>
        <w:t xml:space="preserve">from a </w:t>
      </w:r>
      <w:r w:rsidRPr="00B27685">
        <w:rPr>
          <w:rFonts w:asciiTheme="majorHAnsi" w:hAnsiTheme="majorHAnsi" w:cs="Arial"/>
          <w:spacing w:val="-3"/>
        </w:rPr>
        <w:t xml:space="preserve">CDHP </w:t>
      </w:r>
      <w:r w:rsidRPr="00B27685">
        <w:rPr>
          <w:rFonts w:asciiTheme="majorHAnsi" w:hAnsiTheme="majorHAnsi" w:cs="Arial"/>
        </w:rPr>
        <w:t xml:space="preserve">Plan, any remaining CDHP Health Reimbursement Account (HRA) dollars </w:t>
      </w:r>
      <w:r w:rsidRPr="00B27685">
        <w:rPr>
          <w:rFonts w:asciiTheme="majorHAnsi" w:hAnsiTheme="majorHAnsi" w:cs="Arial"/>
          <w:spacing w:val="-3"/>
        </w:rPr>
        <w:t xml:space="preserve">will </w:t>
      </w:r>
      <w:r w:rsidRPr="00B27685">
        <w:rPr>
          <w:rFonts w:asciiTheme="majorHAnsi" w:hAnsiTheme="majorHAnsi" w:cs="Arial"/>
        </w:rPr>
        <w:t xml:space="preserve">follow </w:t>
      </w:r>
      <w:r w:rsidRPr="00B27685">
        <w:rPr>
          <w:rFonts w:asciiTheme="majorHAnsi" w:hAnsiTheme="majorHAnsi" w:cs="Arial"/>
          <w:spacing w:val="-4"/>
        </w:rPr>
        <w:t xml:space="preserve">you. </w:t>
      </w:r>
      <w:r w:rsidRPr="00B27685">
        <w:rPr>
          <w:rFonts w:asciiTheme="majorHAnsi" w:hAnsiTheme="majorHAnsi" w:cs="Arial"/>
          <w:spacing w:val="2"/>
        </w:rPr>
        <w:t xml:space="preserve">When </w:t>
      </w:r>
      <w:r w:rsidRPr="00B27685">
        <w:rPr>
          <w:rFonts w:asciiTheme="majorHAnsi" w:hAnsiTheme="majorHAnsi" w:cs="Arial"/>
        </w:rPr>
        <w:t xml:space="preserve">changing </w:t>
      </w:r>
      <w:r w:rsidRPr="00B27685">
        <w:rPr>
          <w:rFonts w:asciiTheme="majorHAnsi" w:hAnsiTheme="majorHAnsi" w:cs="Arial"/>
          <w:spacing w:val="-4"/>
        </w:rPr>
        <w:t>your</w:t>
      </w:r>
      <w:r w:rsidRPr="00B27685">
        <w:rPr>
          <w:rFonts w:asciiTheme="majorHAnsi" w:hAnsiTheme="majorHAnsi" w:cs="Arial"/>
        </w:rPr>
        <w:t xml:space="preserve"> enrollment to the HDHP benefit option, the roll over funds </w:t>
      </w:r>
      <w:r w:rsidRPr="00B27685">
        <w:rPr>
          <w:rFonts w:asciiTheme="majorHAnsi" w:hAnsiTheme="majorHAnsi" w:cs="Arial"/>
          <w:spacing w:val="-4"/>
        </w:rPr>
        <w:t xml:space="preserve">will </w:t>
      </w:r>
      <w:r w:rsidRPr="00B27685">
        <w:rPr>
          <w:rFonts w:asciiTheme="majorHAnsi" w:hAnsiTheme="majorHAnsi" w:cs="Arial"/>
        </w:rPr>
        <w:t xml:space="preserve">not </w:t>
      </w:r>
      <w:r w:rsidRPr="00B27685">
        <w:rPr>
          <w:rFonts w:asciiTheme="majorHAnsi" w:hAnsiTheme="majorHAnsi" w:cs="Arial"/>
          <w:spacing w:val="-3"/>
        </w:rPr>
        <w:t xml:space="preserve">be </w:t>
      </w:r>
      <w:r w:rsidRPr="00B27685">
        <w:rPr>
          <w:rFonts w:asciiTheme="majorHAnsi" w:hAnsiTheme="majorHAnsi" w:cs="Arial"/>
        </w:rPr>
        <w:t xml:space="preserve">available until after the run </w:t>
      </w:r>
      <w:r w:rsidRPr="00B27685">
        <w:rPr>
          <w:rFonts w:asciiTheme="majorHAnsi" w:hAnsiTheme="majorHAnsi" w:cs="Arial"/>
          <w:spacing w:val="-4"/>
        </w:rPr>
        <w:t xml:space="preserve">out </w:t>
      </w:r>
      <w:r w:rsidRPr="00B27685">
        <w:rPr>
          <w:rFonts w:asciiTheme="majorHAnsi" w:hAnsiTheme="majorHAnsi" w:cs="Arial"/>
        </w:rPr>
        <w:t xml:space="preserve">period (for claims to </w:t>
      </w:r>
      <w:r w:rsidRPr="00B27685">
        <w:rPr>
          <w:rFonts w:asciiTheme="majorHAnsi" w:hAnsiTheme="majorHAnsi" w:cs="Arial"/>
          <w:spacing w:val="-3"/>
        </w:rPr>
        <w:t xml:space="preserve">clear </w:t>
      </w:r>
      <w:r w:rsidRPr="00B27685">
        <w:rPr>
          <w:rFonts w:asciiTheme="majorHAnsi" w:hAnsiTheme="majorHAnsi" w:cs="Arial"/>
        </w:rPr>
        <w:t xml:space="preserve">under the CDHP Plan </w:t>
      </w:r>
      <w:r w:rsidRPr="00B27685">
        <w:rPr>
          <w:rFonts w:asciiTheme="majorHAnsi" w:hAnsiTheme="majorHAnsi" w:cs="Arial"/>
          <w:spacing w:val="-3"/>
        </w:rPr>
        <w:t xml:space="preserve">benefit </w:t>
      </w:r>
      <w:r w:rsidRPr="00B27685">
        <w:rPr>
          <w:rFonts w:asciiTheme="majorHAnsi" w:hAnsiTheme="majorHAnsi" w:cs="Arial"/>
        </w:rPr>
        <w:t xml:space="preserve">option). This typically takes 90 </w:t>
      </w:r>
      <w:r w:rsidRPr="00B27685">
        <w:rPr>
          <w:rFonts w:asciiTheme="majorHAnsi" w:hAnsiTheme="majorHAnsi" w:cs="Arial"/>
          <w:spacing w:val="-4"/>
        </w:rPr>
        <w:t>days.</w:t>
      </w:r>
      <w:r w:rsidRPr="00B27685">
        <w:rPr>
          <w:rFonts w:asciiTheme="majorHAnsi" w:hAnsiTheme="majorHAnsi" w:cs="Arial"/>
          <w:spacing w:val="54"/>
        </w:rPr>
        <w:t xml:space="preserve"> </w:t>
      </w:r>
      <w:r w:rsidRPr="00B27685">
        <w:rPr>
          <w:rFonts w:asciiTheme="majorHAnsi" w:hAnsiTheme="majorHAnsi" w:cs="Arial"/>
          <w:spacing w:val="-4"/>
        </w:rPr>
        <w:t xml:space="preserve">If </w:t>
      </w:r>
      <w:r w:rsidRPr="00B27685">
        <w:rPr>
          <w:rFonts w:asciiTheme="majorHAnsi" w:hAnsiTheme="majorHAnsi" w:cs="Arial"/>
          <w:spacing w:val="-3"/>
        </w:rPr>
        <w:t xml:space="preserve">you </w:t>
      </w:r>
      <w:r w:rsidRPr="00B27685">
        <w:rPr>
          <w:rFonts w:asciiTheme="majorHAnsi" w:hAnsiTheme="majorHAnsi" w:cs="Arial"/>
        </w:rPr>
        <w:t xml:space="preserve">transfer to the HDHP benefit option with roll over </w:t>
      </w:r>
      <w:bookmarkStart w:id="3" w:name="m_-1039242956552225219__bookmark2"/>
      <w:bookmarkStart w:id="4" w:name="m_-1039242956552225219__bookmark3"/>
      <w:bookmarkEnd w:id="3"/>
      <w:bookmarkEnd w:id="4"/>
      <w:r w:rsidRPr="00B27685">
        <w:rPr>
          <w:rFonts w:asciiTheme="majorHAnsi" w:hAnsiTheme="majorHAnsi" w:cs="Arial"/>
        </w:rPr>
        <w:t xml:space="preserve">CenturyLink UHC Savings HDHP SPD 23 2019 </w:t>
      </w:r>
      <w:r w:rsidRPr="00B27685">
        <w:rPr>
          <w:rFonts w:asciiTheme="majorHAnsi" w:hAnsiTheme="majorHAnsi" w:cs="Arial"/>
          <w:spacing w:val="-3"/>
        </w:rPr>
        <w:t xml:space="preserve">HRA </w:t>
      </w:r>
      <w:r w:rsidRPr="00B27685">
        <w:rPr>
          <w:rFonts w:asciiTheme="majorHAnsi" w:hAnsiTheme="majorHAnsi" w:cs="Arial"/>
        </w:rPr>
        <w:t xml:space="preserve">dollars, </w:t>
      </w:r>
      <w:r w:rsidRPr="00B27685">
        <w:rPr>
          <w:rFonts w:asciiTheme="majorHAnsi" w:hAnsiTheme="majorHAnsi" w:cs="Arial"/>
          <w:spacing w:val="-3"/>
        </w:rPr>
        <w:t xml:space="preserve">you </w:t>
      </w:r>
      <w:r w:rsidRPr="00B27685">
        <w:rPr>
          <w:rFonts w:asciiTheme="majorHAnsi" w:hAnsiTheme="majorHAnsi" w:cs="Arial"/>
        </w:rPr>
        <w:t xml:space="preserve">will </w:t>
      </w:r>
      <w:r w:rsidRPr="00B27685">
        <w:rPr>
          <w:rFonts w:asciiTheme="majorHAnsi" w:hAnsiTheme="majorHAnsi" w:cs="Arial"/>
          <w:spacing w:val="-3"/>
        </w:rPr>
        <w:t xml:space="preserve">not </w:t>
      </w:r>
      <w:r w:rsidRPr="00B27685">
        <w:rPr>
          <w:rFonts w:asciiTheme="majorHAnsi" w:hAnsiTheme="majorHAnsi" w:cs="Arial"/>
        </w:rPr>
        <w:t xml:space="preserve">receive a </w:t>
      </w:r>
      <w:r w:rsidRPr="00B27685">
        <w:rPr>
          <w:rFonts w:asciiTheme="majorHAnsi" w:hAnsiTheme="majorHAnsi" w:cs="Arial"/>
          <w:spacing w:val="-3"/>
        </w:rPr>
        <w:t xml:space="preserve">Health </w:t>
      </w:r>
      <w:r w:rsidRPr="00B27685">
        <w:rPr>
          <w:rFonts w:asciiTheme="majorHAnsi" w:hAnsiTheme="majorHAnsi" w:cs="Arial"/>
        </w:rPr>
        <w:t>Care</w:t>
      </w:r>
      <w:r w:rsidRPr="00B27685">
        <w:rPr>
          <w:rFonts w:asciiTheme="majorHAnsi" w:hAnsiTheme="majorHAnsi" w:cs="Arial"/>
          <w:spacing w:val="57"/>
        </w:rPr>
        <w:t xml:space="preserve"> </w:t>
      </w:r>
      <w:r w:rsidRPr="00B27685">
        <w:rPr>
          <w:rFonts w:asciiTheme="majorHAnsi" w:hAnsiTheme="majorHAnsi" w:cs="Arial"/>
        </w:rPr>
        <w:t>Savings Card for the roll-over amount.</w:t>
      </w:r>
    </w:p>
    <w:p w:rsidR="00B27685" w:rsidRPr="00B27685" w:rsidRDefault="00B27685" w:rsidP="00B27685">
      <w:pPr>
        <w:autoSpaceDE w:val="0"/>
        <w:autoSpaceDN w:val="0"/>
        <w:spacing w:before="100" w:beforeAutospacing="1"/>
        <w:ind w:left="720" w:right="239"/>
        <w:jc w:val="both"/>
        <w:rPr>
          <w:rFonts w:asciiTheme="majorHAnsi" w:hAnsiTheme="majorHAnsi"/>
        </w:rPr>
      </w:pPr>
      <w:r w:rsidRPr="00B27685">
        <w:rPr>
          <w:rFonts w:asciiTheme="majorHAnsi" w:hAnsiTheme="majorHAnsi" w:cs="Arial"/>
          <w:i/>
          <w:iCs/>
        </w:rPr>
        <w:t>(</w:t>
      </w:r>
      <w:r w:rsidRPr="00B27685">
        <w:rPr>
          <w:rFonts w:asciiTheme="majorHAnsi" w:hAnsiTheme="majorHAnsi" w:cs="Arial"/>
          <w:b/>
          <w:bCs/>
          <w:i/>
          <w:iCs/>
        </w:rPr>
        <w:t>NOTE</w:t>
      </w:r>
      <w:r w:rsidRPr="00B27685">
        <w:rPr>
          <w:rFonts w:asciiTheme="majorHAnsi" w:hAnsiTheme="majorHAnsi" w:cs="Arial"/>
          <w:i/>
          <w:iCs/>
        </w:rPr>
        <w:t>: This roll over provision also applies if your coverage ends and you elect one of these Plan benefit options under COBRA or if you retire and elect one of these Plan benefit options under the CenturyLink Retiree and Inactive Health Plan.)</w:t>
      </w:r>
    </w:p>
    <w:p w:rsidR="00B27685" w:rsidRPr="00B27685" w:rsidRDefault="00B27685" w:rsidP="00B27685">
      <w:pPr>
        <w:spacing w:after="200" w:line="276" w:lineRule="auto"/>
        <w:rPr>
          <w:rFonts w:asciiTheme="majorHAnsi" w:eastAsiaTheme="minorHAnsi" w:hAnsiTheme="majorHAnsi" w:cstheme="minorBidi"/>
        </w:rPr>
      </w:pPr>
    </w:p>
    <w:p w:rsidR="00B27685" w:rsidRPr="00B27685" w:rsidRDefault="00B27685" w:rsidP="00B27685">
      <w:pPr>
        <w:spacing w:after="200" w:line="276" w:lineRule="auto"/>
        <w:rPr>
          <w:rFonts w:asciiTheme="majorHAnsi" w:eastAsiaTheme="minorHAnsi" w:hAnsiTheme="majorHAnsi" w:cstheme="minorBidi"/>
        </w:rPr>
      </w:pPr>
      <w:r w:rsidRPr="00B27685">
        <w:rPr>
          <w:rFonts w:asciiTheme="majorHAnsi" w:eastAsiaTheme="minorHAnsi" w:hAnsiTheme="majorHAnsi" w:cstheme="minorBidi"/>
          <w:b/>
        </w:rPr>
        <w:lastRenderedPageBreak/>
        <w:t>Update:</w:t>
      </w:r>
      <w:r w:rsidRPr="00B27685">
        <w:rPr>
          <w:rFonts w:asciiTheme="majorHAnsi" w:eastAsiaTheme="minorHAnsi" w:hAnsiTheme="majorHAnsi" w:cstheme="minorBidi"/>
        </w:rPr>
        <w:t xml:space="preserve"> On the Q&amp;A provided with the tentative agreement, we were asked to include the current 401k language.   With the 2019 tentative agreement the </w:t>
      </w:r>
      <w:r w:rsidRPr="00B27685">
        <w:rPr>
          <w:rFonts w:asciiTheme="majorHAnsi" w:eastAsiaTheme="minorHAnsi" w:hAnsiTheme="majorHAnsi" w:cstheme="minorBidi"/>
          <w:b/>
          <w:u w:val="single"/>
        </w:rPr>
        <w:t>401K DID NOT</w:t>
      </w:r>
      <w:r w:rsidRPr="00B27685">
        <w:rPr>
          <w:rFonts w:asciiTheme="majorHAnsi" w:eastAsiaTheme="minorHAnsi" w:hAnsiTheme="majorHAnsi" w:cstheme="minorBidi"/>
        </w:rPr>
        <w:t xml:space="preserve"> Change.   Please disregard that portion of the Q&amp;A sent with the tentative agreement it was incorrect.</w:t>
      </w:r>
    </w:p>
    <w:p w:rsidR="00B27685" w:rsidRPr="00B27685" w:rsidRDefault="00B27685" w:rsidP="00B27685">
      <w:pPr>
        <w:spacing w:after="200" w:line="276" w:lineRule="auto"/>
        <w:rPr>
          <w:rFonts w:asciiTheme="majorHAnsi" w:eastAsiaTheme="minorHAnsi" w:hAnsiTheme="majorHAnsi" w:cstheme="minorBidi"/>
          <w:b/>
        </w:rPr>
      </w:pPr>
      <w:r w:rsidRPr="00B27685">
        <w:rPr>
          <w:rFonts w:asciiTheme="majorHAnsi" w:eastAsiaTheme="minorHAnsi" w:hAnsiTheme="majorHAnsi" w:cstheme="minorBidi"/>
          <w:b/>
        </w:rPr>
        <w:t>Current Company Contributions are as follows and there was no change:</w:t>
      </w:r>
    </w:p>
    <w:p w:rsidR="00B27685" w:rsidRPr="00B27685" w:rsidRDefault="00B27685" w:rsidP="00B27685">
      <w:pPr>
        <w:numPr>
          <w:ilvl w:val="0"/>
          <w:numId w:val="3"/>
        </w:numPr>
        <w:spacing w:after="200" w:line="276" w:lineRule="auto"/>
        <w:rPr>
          <w:rFonts w:asciiTheme="majorHAnsi" w:eastAsiaTheme="minorHAnsi" w:hAnsiTheme="majorHAnsi" w:cstheme="minorBidi"/>
        </w:rPr>
      </w:pPr>
      <w:r w:rsidRPr="00B27685">
        <w:rPr>
          <w:rFonts w:asciiTheme="majorHAnsi" w:eastAsiaTheme="minorHAnsi" w:hAnsiTheme="majorHAnsi" w:cstheme="minorBidi"/>
          <w:b/>
        </w:rPr>
        <w:t>For those hired or re-hired before January 1, 2009</w:t>
      </w:r>
      <w:r w:rsidRPr="00B27685">
        <w:rPr>
          <w:rFonts w:asciiTheme="majorHAnsi" w:eastAsiaTheme="minorHAnsi" w:hAnsiTheme="majorHAnsi" w:cstheme="minorBidi"/>
        </w:rPr>
        <w:t xml:space="preserve">: For employees who are an active employee of Qwest Corporation on or before December 31, 2008 and remain an active employee following this date, and participate in the CenturyLink Union 401(k) Plan, Qwest will match 80% of the first 5% of employee contributions. </w:t>
      </w:r>
    </w:p>
    <w:p w:rsidR="00B27685" w:rsidRPr="00B27685" w:rsidRDefault="00B27685" w:rsidP="00B27685">
      <w:pPr>
        <w:numPr>
          <w:ilvl w:val="0"/>
          <w:numId w:val="3"/>
        </w:numPr>
        <w:autoSpaceDE w:val="0"/>
        <w:autoSpaceDN w:val="0"/>
        <w:adjustRightInd w:val="0"/>
        <w:spacing w:after="200" w:line="276" w:lineRule="auto"/>
        <w:contextualSpacing/>
        <w:rPr>
          <w:rFonts w:asciiTheme="majorHAnsi" w:eastAsiaTheme="minorHAnsi" w:hAnsiTheme="majorHAnsi" w:cs="Arial,Bold"/>
          <w:bCs/>
        </w:rPr>
      </w:pPr>
      <w:r w:rsidRPr="00B27685">
        <w:rPr>
          <w:rFonts w:asciiTheme="majorHAnsi" w:eastAsiaTheme="minorHAnsi" w:hAnsiTheme="majorHAnsi" w:cs="Arial,Bold"/>
          <w:b/>
          <w:bCs/>
        </w:rPr>
        <w:t xml:space="preserve">Those hired or rehired on or after January 1, 2009: </w:t>
      </w:r>
      <w:r w:rsidRPr="00B27685">
        <w:rPr>
          <w:rFonts w:asciiTheme="majorHAnsi" w:eastAsiaTheme="minorHAnsi" w:hAnsiTheme="majorHAnsi" w:cs="Arial,Bold"/>
          <w:bCs/>
        </w:rPr>
        <w:t>Employees hired, rehired, transfer in after January 1, 2009 will receive a</w:t>
      </w:r>
      <w:r w:rsidRPr="00B27685">
        <w:rPr>
          <w:rFonts w:asciiTheme="majorHAnsi" w:eastAsiaTheme="minorHAnsi" w:hAnsiTheme="majorHAnsi" w:cs="Arial"/>
        </w:rPr>
        <w:t xml:space="preserve"> dollar-for-dollar match on the first 1% and a 50% match on the next 2.5%. </w:t>
      </w:r>
      <w:r w:rsidRPr="00B27685">
        <w:rPr>
          <w:rFonts w:asciiTheme="majorHAnsi" w:eastAsiaTheme="minorHAnsi" w:hAnsiTheme="majorHAnsi" w:cs="Arial,Bold"/>
          <w:bCs/>
        </w:rPr>
        <w:t xml:space="preserve">Example: </w:t>
      </w:r>
    </w:p>
    <w:p w:rsidR="00B27685" w:rsidRPr="00B27685" w:rsidRDefault="00B27685" w:rsidP="00B27685">
      <w:pPr>
        <w:autoSpaceDE w:val="0"/>
        <w:autoSpaceDN w:val="0"/>
        <w:adjustRightInd w:val="0"/>
        <w:spacing w:after="200" w:line="276" w:lineRule="auto"/>
        <w:ind w:left="1440" w:firstLine="720"/>
        <w:rPr>
          <w:rFonts w:asciiTheme="majorHAnsi" w:eastAsiaTheme="minorHAnsi" w:hAnsiTheme="majorHAnsi" w:cs="Arial,Bold"/>
          <w:bCs/>
        </w:rPr>
      </w:pPr>
      <w:r w:rsidRPr="00B27685">
        <w:rPr>
          <w:rFonts w:asciiTheme="majorHAnsi" w:eastAsiaTheme="minorHAnsi" w:hAnsiTheme="majorHAnsi" w:cs="Arial,Bold"/>
          <w:bCs/>
        </w:rPr>
        <w:t>Employee Defers</w:t>
      </w:r>
      <w:r w:rsidRPr="00B27685">
        <w:rPr>
          <w:rFonts w:asciiTheme="majorHAnsi" w:eastAsiaTheme="minorHAnsi" w:hAnsiTheme="majorHAnsi" w:cs="Arial,Bold"/>
          <w:bCs/>
        </w:rPr>
        <w:tab/>
        <w:t>Company matches</w:t>
      </w:r>
    </w:p>
    <w:p w:rsidR="00B27685" w:rsidRPr="00B27685" w:rsidRDefault="00B27685" w:rsidP="00B27685">
      <w:pPr>
        <w:autoSpaceDE w:val="0"/>
        <w:autoSpaceDN w:val="0"/>
        <w:adjustRightInd w:val="0"/>
        <w:spacing w:after="200" w:line="276" w:lineRule="auto"/>
        <w:ind w:left="2160"/>
        <w:rPr>
          <w:rFonts w:asciiTheme="majorHAnsi" w:eastAsiaTheme="minorHAnsi" w:hAnsiTheme="majorHAnsi" w:cs="Arial,Bold"/>
          <w:bCs/>
        </w:rPr>
      </w:pPr>
      <w:r w:rsidRPr="00B27685">
        <w:rPr>
          <w:rFonts w:asciiTheme="majorHAnsi" w:eastAsiaTheme="minorHAnsi" w:hAnsiTheme="majorHAnsi" w:cs="Arial,Bold"/>
          <w:bCs/>
        </w:rPr>
        <w:t>1%</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1%</w:t>
      </w:r>
      <w:r w:rsidRPr="00B27685">
        <w:rPr>
          <w:rFonts w:asciiTheme="majorHAnsi" w:eastAsiaTheme="minorHAnsi" w:hAnsiTheme="majorHAnsi" w:cs="Arial,Bold"/>
          <w:bCs/>
        </w:rPr>
        <w:br/>
        <w:t>2%</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1.5%</w:t>
      </w:r>
      <w:r w:rsidRPr="00B27685">
        <w:rPr>
          <w:rFonts w:asciiTheme="majorHAnsi" w:eastAsiaTheme="minorHAnsi" w:hAnsiTheme="majorHAnsi" w:cs="Arial,Bold"/>
          <w:bCs/>
        </w:rPr>
        <w:br/>
        <w:t>3%</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2%</w:t>
      </w:r>
      <w:r w:rsidRPr="00B27685">
        <w:rPr>
          <w:rFonts w:asciiTheme="majorHAnsi" w:eastAsiaTheme="minorHAnsi" w:hAnsiTheme="majorHAnsi" w:cs="Arial,Bold"/>
          <w:bCs/>
        </w:rPr>
        <w:br/>
        <w:t>4%</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2.5%</w:t>
      </w:r>
      <w:r w:rsidRPr="00B27685">
        <w:rPr>
          <w:rFonts w:asciiTheme="majorHAnsi" w:eastAsiaTheme="minorHAnsi" w:hAnsiTheme="majorHAnsi" w:cs="Arial,Bold"/>
          <w:bCs/>
        </w:rPr>
        <w:br/>
        <w:t>5%</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3%</w:t>
      </w:r>
      <w:r w:rsidRPr="00B27685">
        <w:rPr>
          <w:rFonts w:asciiTheme="majorHAnsi" w:eastAsiaTheme="minorHAnsi" w:hAnsiTheme="majorHAnsi" w:cs="Arial,Bold"/>
          <w:bCs/>
        </w:rPr>
        <w:br/>
        <w:t>6%</w:t>
      </w:r>
      <w:r w:rsidRPr="00B27685">
        <w:rPr>
          <w:rFonts w:asciiTheme="majorHAnsi" w:eastAsiaTheme="minorHAnsi" w:hAnsiTheme="majorHAnsi" w:cs="Arial,Bold"/>
          <w:bCs/>
        </w:rPr>
        <w:tab/>
      </w:r>
      <w:r w:rsidRPr="00B27685">
        <w:rPr>
          <w:rFonts w:asciiTheme="majorHAnsi" w:eastAsiaTheme="minorHAnsi" w:hAnsiTheme="majorHAnsi" w:cs="Arial,Bold"/>
          <w:bCs/>
        </w:rPr>
        <w:tab/>
      </w:r>
      <w:r w:rsidRPr="00B27685">
        <w:rPr>
          <w:rFonts w:asciiTheme="majorHAnsi" w:eastAsiaTheme="minorHAnsi" w:hAnsiTheme="majorHAnsi" w:cs="Arial,Bold"/>
          <w:bCs/>
        </w:rPr>
        <w:tab/>
        <w:t>3.5%</w:t>
      </w:r>
    </w:p>
    <w:p w:rsidR="00B27685" w:rsidRPr="00B27685" w:rsidRDefault="00B27685" w:rsidP="00B27685">
      <w:pPr>
        <w:autoSpaceDE w:val="0"/>
        <w:autoSpaceDN w:val="0"/>
        <w:adjustRightInd w:val="0"/>
        <w:spacing w:after="200" w:line="276" w:lineRule="auto"/>
        <w:rPr>
          <w:rFonts w:asciiTheme="majorHAnsi" w:eastAsiaTheme="minorHAnsi" w:hAnsiTheme="majorHAnsi" w:cs="Arial,Bold"/>
          <w:bCs/>
        </w:rPr>
      </w:pPr>
      <w:r w:rsidRPr="00B27685">
        <w:rPr>
          <w:rFonts w:asciiTheme="majorHAnsi" w:eastAsiaTheme="minorHAnsi" w:hAnsiTheme="majorHAnsi" w:cs="Arial,Bold"/>
          <w:bCs/>
        </w:rPr>
        <w:t xml:space="preserve">Please see the contract reference guide for further details. </w:t>
      </w:r>
    </w:p>
    <w:p w:rsidR="00082341" w:rsidRDefault="001C1892" w:rsidP="00E540AB">
      <w:pPr>
        <w:rPr>
          <w:sz w:val="22"/>
          <w:szCs w:val="22"/>
        </w:rPr>
      </w:pPr>
      <w:r>
        <w:rPr>
          <w:sz w:val="22"/>
          <w:szCs w:val="22"/>
        </w:rPr>
        <w:t>SM</w:t>
      </w:r>
      <w:r w:rsidR="00424ECB" w:rsidRPr="00591C58">
        <w:rPr>
          <w:sz w:val="22"/>
          <w:szCs w:val="22"/>
        </w:rPr>
        <w:t>/</w:t>
      </w:r>
      <w:proofErr w:type="spellStart"/>
      <w:r w:rsidR="00424ECB" w:rsidRPr="00591C58">
        <w:rPr>
          <w:sz w:val="22"/>
          <w:szCs w:val="22"/>
        </w:rPr>
        <w:t>vk</w:t>
      </w:r>
      <w:proofErr w:type="spellEnd"/>
      <w:r w:rsidR="007A0FE6" w:rsidRPr="00591C58">
        <w:rPr>
          <w:sz w:val="22"/>
          <w:szCs w:val="22"/>
        </w:rPr>
        <w:t xml:space="preserve"> </w:t>
      </w:r>
      <w:r w:rsidR="00DD644E" w:rsidRPr="00591C58">
        <w:rPr>
          <w:sz w:val="22"/>
          <w:szCs w:val="22"/>
        </w:rPr>
        <w:t xml:space="preserve">opeiu30 </w:t>
      </w:r>
      <w:proofErr w:type="spellStart"/>
      <w:r w:rsidR="00DD644E" w:rsidRPr="00591C58">
        <w:rPr>
          <w:sz w:val="22"/>
          <w:szCs w:val="22"/>
        </w:rPr>
        <w:t>afl-cio</w:t>
      </w:r>
      <w:proofErr w:type="spellEnd"/>
    </w:p>
    <w:p w:rsidR="002A6BCA" w:rsidRDefault="002A6BCA" w:rsidP="00E540AB">
      <w:pPr>
        <w:rPr>
          <w:sz w:val="22"/>
          <w:szCs w:val="22"/>
        </w:rPr>
      </w:pPr>
    </w:p>
    <w:p w:rsidR="00BF1E12" w:rsidRPr="0066515D" w:rsidRDefault="00E540AB" w:rsidP="00111011">
      <w:r w:rsidRPr="0066515D">
        <w:t xml:space="preserve">C:  </w:t>
      </w:r>
      <w:r w:rsidRPr="0066515D">
        <w:tab/>
      </w:r>
      <w:r w:rsidR="009F7B81" w:rsidRPr="0066515D">
        <w:tab/>
      </w:r>
      <w:r w:rsidR="001C1892">
        <w:t>Staff</w:t>
      </w:r>
      <w:r w:rsidR="00BE50D4">
        <w:tab/>
      </w:r>
      <w:r w:rsidR="00BE50D4">
        <w:tab/>
      </w:r>
    </w:p>
    <w:sectPr w:rsidR="00BF1E12" w:rsidRPr="0066515D" w:rsidSect="00111011">
      <w:type w:val="continuous"/>
      <w:pgSz w:w="12240" w:h="15840"/>
      <w:pgMar w:top="36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0B" w:rsidRDefault="00F63D0B">
      <w:r>
        <w:separator/>
      </w:r>
    </w:p>
  </w:endnote>
  <w:endnote w:type="continuationSeparator" w:id="0">
    <w:p w:rsidR="00F63D0B" w:rsidRDefault="00F6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E2B" w:rsidRDefault="00DD0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064">
      <w:rPr>
        <w:rStyle w:val="PageNumber"/>
        <w:noProof/>
      </w:rPr>
      <w:t>2</w:t>
    </w:r>
    <w:r>
      <w:rPr>
        <w:rStyle w:val="PageNumber"/>
      </w:rPr>
      <w:fldChar w:fldCharType="end"/>
    </w:r>
  </w:p>
  <w:p w:rsidR="00DD0E2B" w:rsidRDefault="00DD0E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0B" w:rsidRDefault="00F63D0B">
      <w:r>
        <w:separator/>
      </w:r>
    </w:p>
  </w:footnote>
  <w:footnote w:type="continuationSeparator" w:id="0">
    <w:p w:rsidR="00F63D0B" w:rsidRDefault="00F6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CF1"/>
    <w:multiLevelType w:val="hybridMultilevel"/>
    <w:tmpl w:val="07F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3A1E"/>
    <w:multiLevelType w:val="hybridMultilevel"/>
    <w:tmpl w:val="6698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629B8"/>
    <w:multiLevelType w:val="hybridMultilevel"/>
    <w:tmpl w:val="4EA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04"/>
    <w:rsid w:val="00000600"/>
    <w:rsid w:val="000176A3"/>
    <w:rsid w:val="000453DD"/>
    <w:rsid w:val="00051004"/>
    <w:rsid w:val="0005408C"/>
    <w:rsid w:val="00061CBF"/>
    <w:rsid w:val="000668B3"/>
    <w:rsid w:val="00066F4F"/>
    <w:rsid w:val="00082341"/>
    <w:rsid w:val="00085626"/>
    <w:rsid w:val="000B1183"/>
    <w:rsid w:val="000D3D80"/>
    <w:rsid w:val="000D74F2"/>
    <w:rsid w:val="00111011"/>
    <w:rsid w:val="0012424E"/>
    <w:rsid w:val="00125951"/>
    <w:rsid w:val="00135F53"/>
    <w:rsid w:val="00143748"/>
    <w:rsid w:val="00164DD3"/>
    <w:rsid w:val="00172FE3"/>
    <w:rsid w:val="001752AC"/>
    <w:rsid w:val="001A4AC0"/>
    <w:rsid w:val="001C0BE4"/>
    <w:rsid w:val="001C1892"/>
    <w:rsid w:val="001D0D98"/>
    <w:rsid w:val="001E5C8E"/>
    <w:rsid w:val="00207224"/>
    <w:rsid w:val="0021584F"/>
    <w:rsid w:val="00236927"/>
    <w:rsid w:val="002405EE"/>
    <w:rsid w:val="00257AB9"/>
    <w:rsid w:val="00274BC5"/>
    <w:rsid w:val="002A6BCA"/>
    <w:rsid w:val="002D50DE"/>
    <w:rsid w:val="002E2B37"/>
    <w:rsid w:val="002F4A1F"/>
    <w:rsid w:val="003176A5"/>
    <w:rsid w:val="00322F16"/>
    <w:rsid w:val="00323064"/>
    <w:rsid w:val="003300D7"/>
    <w:rsid w:val="00356804"/>
    <w:rsid w:val="00382786"/>
    <w:rsid w:val="003835FF"/>
    <w:rsid w:val="0039086B"/>
    <w:rsid w:val="003C52DF"/>
    <w:rsid w:val="003D6167"/>
    <w:rsid w:val="00424ECB"/>
    <w:rsid w:val="00460D6A"/>
    <w:rsid w:val="00470A2B"/>
    <w:rsid w:val="004903A4"/>
    <w:rsid w:val="004A0FF5"/>
    <w:rsid w:val="004B0F13"/>
    <w:rsid w:val="004C0893"/>
    <w:rsid w:val="005245E3"/>
    <w:rsid w:val="00546410"/>
    <w:rsid w:val="0056291D"/>
    <w:rsid w:val="00591C58"/>
    <w:rsid w:val="0059508F"/>
    <w:rsid w:val="0059576E"/>
    <w:rsid w:val="005966E7"/>
    <w:rsid w:val="005D0403"/>
    <w:rsid w:val="005E2FEE"/>
    <w:rsid w:val="005F645A"/>
    <w:rsid w:val="00611E1C"/>
    <w:rsid w:val="00630830"/>
    <w:rsid w:val="00634102"/>
    <w:rsid w:val="006344BF"/>
    <w:rsid w:val="00636D1C"/>
    <w:rsid w:val="00646A96"/>
    <w:rsid w:val="0066515D"/>
    <w:rsid w:val="00676292"/>
    <w:rsid w:val="006855B9"/>
    <w:rsid w:val="006932C2"/>
    <w:rsid w:val="006B53FC"/>
    <w:rsid w:val="006D1380"/>
    <w:rsid w:val="00706EFA"/>
    <w:rsid w:val="00740C47"/>
    <w:rsid w:val="007451F2"/>
    <w:rsid w:val="007548EB"/>
    <w:rsid w:val="00763805"/>
    <w:rsid w:val="00774DA6"/>
    <w:rsid w:val="00794AF0"/>
    <w:rsid w:val="00797CB0"/>
    <w:rsid w:val="007A0FE6"/>
    <w:rsid w:val="007B3B62"/>
    <w:rsid w:val="007E4AC9"/>
    <w:rsid w:val="007E6329"/>
    <w:rsid w:val="007F02A4"/>
    <w:rsid w:val="0080164D"/>
    <w:rsid w:val="00806023"/>
    <w:rsid w:val="00823C76"/>
    <w:rsid w:val="00831B53"/>
    <w:rsid w:val="00835A66"/>
    <w:rsid w:val="008648E7"/>
    <w:rsid w:val="0088613A"/>
    <w:rsid w:val="008869B7"/>
    <w:rsid w:val="00887CA0"/>
    <w:rsid w:val="008A7E03"/>
    <w:rsid w:val="008E3867"/>
    <w:rsid w:val="00902B00"/>
    <w:rsid w:val="00906D4F"/>
    <w:rsid w:val="00937EAA"/>
    <w:rsid w:val="00945E11"/>
    <w:rsid w:val="009522BE"/>
    <w:rsid w:val="0097681E"/>
    <w:rsid w:val="009836AD"/>
    <w:rsid w:val="00994490"/>
    <w:rsid w:val="009D6AB2"/>
    <w:rsid w:val="009F7B81"/>
    <w:rsid w:val="00A140C1"/>
    <w:rsid w:val="00A3583D"/>
    <w:rsid w:val="00A44182"/>
    <w:rsid w:val="00A471C6"/>
    <w:rsid w:val="00A67CE6"/>
    <w:rsid w:val="00B17E11"/>
    <w:rsid w:val="00B27685"/>
    <w:rsid w:val="00B415E4"/>
    <w:rsid w:val="00B712FB"/>
    <w:rsid w:val="00B953D7"/>
    <w:rsid w:val="00BA5F22"/>
    <w:rsid w:val="00BB0155"/>
    <w:rsid w:val="00BB1FE0"/>
    <w:rsid w:val="00BE03DE"/>
    <w:rsid w:val="00BE16AB"/>
    <w:rsid w:val="00BE50D4"/>
    <w:rsid w:val="00BE78E2"/>
    <w:rsid w:val="00BF1E12"/>
    <w:rsid w:val="00BF25B7"/>
    <w:rsid w:val="00BF490F"/>
    <w:rsid w:val="00C2509C"/>
    <w:rsid w:val="00C64CFE"/>
    <w:rsid w:val="00CA461E"/>
    <w:rsid w:val="00CE034C"/>
    <w:rsid w:val="00CE586B"/>
    <w:rsid w:val="00D343BB"/>
    <w:rsid w:val="00D97F83"/>
    <w:rsid w:val="00DB0E52"/>
    <w:rsid w:val="00DB7BA9"/>
    <w:rsid w:val="00DC64C0"/>
    <w:rsid w:val="00DD0E2B"/>
    <w:rsid w:val="00DD644E"/>
    <w:rsid w:val="00DE62A7"/>
    <w:rsid w:val="00DF1044"/>
    <w:rsid w:val="00E13F82"/>
    <w:rsid w:val="00E540AB"/>
    <w:rsid w:val="00E752EC"/>
    <w:rsid w:val="00E8401D"/>
    <w:rsid w:val="00E85B7A"/>
    <w:rsid w:val="00EA04A1"/>
    <w:rsid w:val="00EC203F"/>
    <w:rsid w:val="00EE0A8F"/>
    <w:rsid w:val="00EF6D79"/>
    <w:rsid w:val="00F066DD"/>
    <w:rsid w:val="00F33EA1"/>
    <w:rsid w:val="00F63D0B"/>
    <w:rsid w:val="00F6469C"/>
    <w:rsid w:val="00F93A08"/>
    <w:rsid w:val="00FA063F"/>
    <w:rsid w:val="00FB556F"/>
    <w:rsid w:val="00FC7852"/>
    <w:rsid w:val="00FD3117"/>
    <w:rsid w:val="00FD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BF3AE-134E-4C6A-841E-D898E8B4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312">
      <w:bodyDiv w:val="1"/>
      <w:marLeft w:val="0"/>
      <w:marRight w:val="0"/>
      <w:marTop w:val="0"/>
      <w:marBottom w:val="0"/>
      <w:divBdr>
        <w:top w:val="none" w:sz="0" w:space="0" w:color="auto"/>
        <w:left w:val="none" w:sz="0" w:space="0" w:color="auto"/>
        <w:bottom w:val="none" w:sz="0" w:space="0" w:color="auto"/>
        <w:right w:val="none" w:sz="0" w:space="0" w:color="auto"/>
      </w:divBdr>
      <w:divsChild>
        <w:div w:id="1484198115">
          <w:marLeft w:val="0"/>
          <w:marRight w:val="0"/>
          <w:marTop w:val="0"/>
          <w:marBottom w:val="0"/>
          <w:divBdr>
            <w:top w:val="none" w:sz="0" w:space="0" w:color="auto"/>
            <w:left w:val="none" w:sz="0" w:space="0" w:color="auto"/>
            <w:bottom w:val="none" w:sz="0" w:space="0" w:color="auto"/>
            <w:right w:val="none" w:sz="0" w:space="0" w:color="auto"/>
          </w:divBdr>
        </w:div>
        <w:div w:id="1705669686">
          <w:marLeft w:val="0"/>
          <w:marRight w:val="0"/>
          <w:marTop w:val="0"/>
          <w:marBottom w:val="0"/>
          <w:divBdr>
            <w:top w:val="none" w:sz="0" w:space="0" w:color="auto"/>
            <w:left w:val="none" w:sz="0" w:space="0" w:color="auto"/>
            <w:bottom w:val="none" w:sz="0" w:space="0" w:color="auto"/>
            <w:right w:val="none" w:sz="0" w:space="0" w:color="auto"/>
          </w:divBdr>
        </w:div>
        <w:div w:id="1766341671">
          <w:marLeft w:val="0"/>
          <w:marRight w:val="0"/>
          <w:marTop w:val="0"/>
          <w:marBottom w:val="0"/>
          <w:divBdr>
            <w:top w:val="none" w:sz="0" w:space="0" w:color="auto"/>
            <w:left w:val="none" w:sz="0" w:space="0" w:color="auto"/>
            <w:bottom w:val="none" w:sz="0" w:space="0" w:color="auto"/>
            <w:right w:val="none" w:sz="0" w:space="0" w:color="auto"/>
          </w:divBdr>
        </w:div>
        <w:div w:id="898708066">
          <w:marLeft w:val="0"/>
          <w:marRight w:val="0"/>
          <w:marTop w:val="0"/>
          <w:marBottom w:val="0"/>
          <w:divBdr>
            <w:top w:val="none" w:sz="0" w:space="0" w:color="auto"/>
            <w:left w:val="none" w:sz="0" w:space="0" w:color="auto"/>
            <w:bottom w:val="none" w:sz="0" w:space="0" w:color="auto"/>
            <w:right w:val="none" w:sz="0" w:space="0" w:color="auto"/>
          </w:divBdr>
        </w:div>
        <w:div w:id="2071610026">
          <w:marLeft w:val="0"/>
          <w:marRight w:val="0"/>
          <w:marTop w:val="0"/>
          <w:marBottom w:val="0"/>
          <w:divBdr>
            <w:top w:val="none" w:sz="0" w:space="0" w:color="auto"/>
            <w:left w:val="none" w:sz="0" w:space="0" w:color="auto"/>
            <w:bottom w:val="none" w:sz="0" w:space="0" w:color="auto"/>
            <w:right w:val="none" w:sz="0" w:space="0" w:color="auto"/>
          </w:divBdr>
        </w:div>
      </w:divsChild>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807163678">
      <w:bodyDiv w:val="1"/>
      <w:marLeft w:val="0"/>
      <w:marRight w:val="0"/>
      <w:marTop w:val="0"/>
      <w:marBottom w:val="0"/>
      <w:divBdr>
        <w:top w:val="none" w:sz="0" w:space="0" w:color="auto"/>
        <w:left w:val="none" w:sz="0" w:space="0" w:color="auto"/>
        <w:bottom w:val="none" w:sz="0" w:space="0" w:color="auto"/>
        <w:right w:val="none" w:sz="0" w:space="0" w:color="auto"/>
      </w:divBdr>
      <w:divsChild>
        <w:div w:id="690298768">
          <w:marLeft w:val="0"/>
          <w:marRight w:val="0"/>
          <w:marTop w:val="0"/>
          <w:marBottom w:val="0"/>
          <w:divBdr>
            <w:top w:val="none" w:sz="0" w:space="0" w:color="auto"/>
            <w:left w:val="none" w:sz="0" w:space="0" w:color="auto"/>
            <w:bottom w:val="none" w:sz="0" w:space="0" w:color="auto"/>
            <w:right w:val="none" w:sz="0" w:space="0" w:color="auto"/>
          </w:divBdr>
        </w:div>
        <w:div w:id="1457870768">
          <w:marLeft w:val="0"/>
          <w:marRight w:val="0"/>
          <w:marTop w:val="0"/>
          <w:marBottom w:val="0"/>
          <w:divBdr>
            <w:top w:val="none" w:sz="0" w:space="0" w:color="auto"/>
            <w:left w:val="none" w:sz="0" w:space="0" w:color="auto"/>
            <w:bottom w:val="none" w:sz="0" w:space="0" w:color="auto"/>
            <w:right w:val="none" w:sz="0" w:space="0" w:color="auto"/>
          </w:divBdr>
        </w:div>
        <w:div w:id="299579657">
          <w:marLeft w:val="0"/>
          <w:marRight w:val="0"/>
          <w:marTop w:val="0"/>
          <w:marBottom w:val="0"/>
          <w:divBdr>
            <w:top w:val="none" w:sz="0" w:space="0" w:color="auto"/>
            <w:left w:val="none" w:sz="0" w:space="0" w:color="auto"/>
            <w:bottom w:val="none" w:sz="0" w:space="0" w:color="auto"/>
            <w:right w:val="none" w:sz="0" w:space="0" w:color="auto"/>
          </w:divBdr>
        </w:div>
      </w:divsChild>
    </w:div>
    <w:div w:id="924147235">
      <w:bodyDiv w:val="1"/>
      <w:marLeft w:val="0"/>
      <w:marRight w:val="0"/>
      <w:marTop w:val="0"/>
      <w:marBottom w:val="0"/>
      <w:divBdr>
        <w:top w:val="none" w:sz="0" w:space="0" w:color="auto"/>
        <w:left w:val="none" w:sz="0" w:space="0" w:color="auto"/>
        <w:bottom w:val="none" w:sz="0" w:space="0" w:color="auto"/>
        <w:right w:val="none" w:sz="0" w:space="0" w:color="auto"/>
      </w:divBdr>
      <w:divsChild>
        <w:div w:id="805050898">
          <w:marLeft w:val="0"/>
          <w:marRight w:val="0"/>
          <w:marTop w:val="0"/>
          <w:marBottom w:val="0"/>
          <w:divBdr>
            <w:top w:val="none" w:sz="0" w:space="0" w:color="auto"/>
            <w:left w:val="none" w:sz="0" w:space="0" w:color="auto"/>
            <w:bottom w:val="none" w:sz="0" w:space="0" w:color="auto"/>
            <w:right w:val="none" w:sz="0" w:space="0" w:color="auto"/>
          </w:divBdr>
        </w:div>
        <w:div w:id="962154705">
          <w:marLeft w:val="0"/>
          <w:marRight w:val="0"/>
          <w:marTop w:val="0"/>
          <w:marBottom w:val="0"/>
          <w:divBdr>
            <w:top w:val="none" w:sz="0" w:space="0" w:color="auto"/>
            <w:left w:val="none" w:sz="0" w:space="0" w:color="auto"/>
            <w:bottom w:val="none" w:sz="0" w:space="0" w:color="auto"/>
            <w:right w:val="none" w:sz="0" w:space="0" w:color="auto"/>
          </w:divBdr>
        </w:div>
        <w:div w:id="1916014007">
          <w:marLeft w:val="0"/>
          <w:marRight w:val="0"/>
          <w:marTop w:val="0"/>
          <w:marBottom w:val="0"/>
          <w:divBdr>
            <w:top w:val="none" w:sz="0" w:space="0" w:color="auto"/>
            <w:left w:val="none" w:sz="0" w:space="0" w:color="auto"/>
            <w:bottom w:val="none" w:sz="0" w:space="0" w:color="auto"/>
            <w:right w:val="none" w:sz="0" w:space="0" w:color="auto"/>
          </w:divBdr>
        </w:div>
      </w:divsChild>
    </w:div>
    <w:div w:id="1020207462">
      <w:bodyDiv w:val="1"/>
      <w:marLeft w:val="0"/>
      <w:marRight w:val="0"/>
      <w:marTop w:val="0"/>
      <w:marBottom w:val="0"/>
      <w:divBdr>
        <w:top w:val="none" w:sz="0" w:space="0" w:color="auto"/>
        <w:left w:val="none" w:sz="0" w:space="0" w:color="auto"/>
        <w:bottom w:val="none" w:sz="0" w:space="0" w:color="auto"/>
        <w:right w:val="none" w:sz="0" w:space="0" w:color="auto"/>
      </w:divBdr>
      <w:divsChild>
        <w:div w:id="1625503076">
          <w:marLeft w:val="0"/>
          <w:marRight w:val="0"/>
          <w:marTop w:val="0"/>
          <w:marBottom w:val="0"/>
          <w:divBdr>
            <w:top w:val="none" w:sz="0" w:space="0" w:color="auto"/>
            <w:left w:val="none" w:sz="0" w:space="0" w:color="auto"/>
            <w:bottom w:val="none" w:sz="0" w:space="0" w:color="auto"/>
            <w:right w:val="none" w:sz="0" w:space="0" w:color="auto"/>
          </w:divBdr>
        </w:div>
        <w:div w:id="1221329641">
          <w:marLeft w:val="0"/>
          <w:marRight w:val="0"/>
          <w:marTop w:val="0"/>
          <w:marBottom w:val="0"/>
          <w:divBdr>
            <w:top w:val="none" w:sz="0" w:space="0" w:color="auto"/>
            <w:left w:val="none" w:sz="0" w:space="0" w:color="auto"/>
            <w:bottom w:val="none" w:sz="0" w:space="0" w:color="auto"/>
            <w:right w:val="none" w:sz="0" w:space="0" w:color="auto"/>
          </w:divBdr>
        </w:div>
      </w:divsChild>
    </w:div>
    <w:div w:id="1650599286">
      <w:bodyDiv w:val="1"/>
      <w:marLeft w:val="0"/>
      <w:marRight w:val="0"/>
      <w:marTop w:val="0"/>
      <w:marBottom w:val="0"/>
      <w:divBdr>
        <w:top w:val="none" w:sz="0" w:space="0" w:color="auto"/>
        <w:left w:val="none" w:sz="0" w:space="0" w:color="auto"/>
        <w:bottom w:val="none" w:sz="0" w:space="0" w:color="auto"/>
        <w:right w:val="none" w:sz="0" w:space="0" w:color="auto"/>
      </w:divBdr>
    </w:div>
    <w:div w:id="1907453151">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sChild>
        <w:div w:id="1199050175">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 w:id="89551122">
          <w:marLeft w:val="0"/>
          <w:marRight w:val="0"/>
          <w:marTop w:val="0"/>
          <w:marBottom w:val="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840463844">
                  <w:marLeft w:val="0"/>
                  <w:marRight w:val="0"/>
                  <w:marTop w:val="0"/>
                  <w:marBottom w:val="0"/>
                  <w:divBdr>
                    <w:top w:val="none" w:sz="0" w:space="0" w:color="auto"/>
                    <w:left w:val="none" w:sz="0" w:space="0" w:color="auto"/>
                    <w:bottom w:val="none" w:sz="0" w:space="0" w:color="auto"/>
                    <w:right w:val="none" w:sz="0" w:space="0" w:color="auto"/>
                  </w:divBdr>
                </w:div>
                <w:div w:id="720633928">
                  <w:marLeft w:val="0"/>
                  <w:marRight w:val="0"/>
                  <w:marTop w:val="0"/>
                  <w:marBottom w:val="0"/>
                  <w:divBdr>
                    <w:top w:val="none" w:sz="0" w:space="0" w:color="auto"/>
                    <w:left w:val="none" w:sz="0" w:space="0" w:color="auto"/>
                    <w:bottom w:val="none" w:sz="0" w:space="0" w:color="auto"/>
                    <w:right w:val="none" w:sz="0" w:space="0" w:color="auto"/>
                  </w:divBdr>
                  <w:divsChild>
                    <w:div w:id="504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VIA FAX</vt:lpstr>
    </vt:vector>
  </TitlesOfParts>
  <Company>CWA</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FAX</dc:title>
  <dc:creator>District Office</dc:creator>
  <cp:lastModifiedBy>VP</cp:lastModifiedBy>
  <cp:revision>2</cp:revision>
  <cp:lastPrinted>2019-05-31T21:39:00Z</cp:lastPrinted>
  <dcterms:created xsi:type="dcterms:W3CDTF">2019-08-29T17:21:00Z</dcterms:created>
  <dcterms:modified xsi:type="dcterms:W3CDTF">2019-08-29T17:21:00Z</dcterms:modified>
</cp:coreProperties>
</file>